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0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14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年辅导员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班主任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职业技能大赛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14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评分细则</w:t>
      </w:r>
    </w:p>
    <w:p>
      <w:pPr>
        <w:spacing w:line="540" w:lineRule="exact"/>
        <w:ind w:right="10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</w:p>
    <w:tbl>
      <w:tblPr>
        <w:tblStyle w:val="5"/>
        <w:tblW w:w="8265" w:type="dxa"/>
        <w:tblInd w:w="66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245"/>
        <w:gridCol w:w="3180"/>
        <w:gridCol w:w="810"/>
        <w:gridCol w:w="17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日常表现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日常管理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、下宿舍情况；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决赛成绩=日常表现成绩*50%+综合评价成绩*10%+现场展示成绩*40%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、下课堂情况；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、下学生活动情况；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、学生约谈工作；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、联系家长情况；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、班会（团日）召开情况；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、工作档案综合管理情况；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、其他。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专项工作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、安全教育；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、宿舍管理；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、学风建设；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、心理健康；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、就业指导与教育；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、班团建设和团内推优；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、其他。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科研工作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、课题申报情况；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、发表文章情况；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、其他。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学生和职能部门评价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1、学生评价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2、职能部门评价</w:t>
            </w:r>
          </w:p>
        </w:tc>
        <w:tc>
          <w:tcPr>
            <w:tcW w:w="8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现场展示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特色工作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说明自身的工作岗位，然后对本岗位的特色工作进行介绍与展示。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案例分析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现场随机抽题，根据抽取的案例，就问题关键点、解决思路、实施办法、经验启示等方面进行现场阐述。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40" w:lineRule="exact"/>
        <w:ind w:right="1000"/>
        <w:jc w:val="both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仿宋_GB2312" w:cs="Times New Roma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D6B4E5-6FA8-4953-B9ED-38C2D824DA45}">
  <ds:schemaRefs/>
</ds:datastoreItem>
</file>